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6C" w:rsidRPr="004F5306" w:rsidRDefault="00C7386C" w:rsidP="00C7386C">
      <w:pPr>
        <w:rPr>
          <w:rFonts w:cs="Arial"/>
          <w:b/>
          <w:i/>
          <w:iCs/>
          <w:sz w:val="16"/>
          <w:szCs w:val="16"/>
        </w:rPr>
      </w:pPr>
      <w:bookmarkStart w:id="0" w:name="_Toc448264977"/>
      <w:r w:rsidRPr="004F5306">
        <w:rPr>
          <w:rFonts w:cs="Arial"/>
          <w:b/>
          <w:sz w:val="16"/>
          <w:szCs w:val="16"/>
        </w:rPr>
        <w:t xml:space="preserve">Opracowanie Studium Wykonalności i wniosku o dofinansowanie projektu przedsięwzięcia </w:t>
      </w:r>
      <w:r w:rsidRPr="004F5306">
        <w:rPr>
          <w:rFonts w:cs="Arial"/>
          <w:b/>
          <w:i/>
          <w:iCs/>
          <w:sz w:val="16"/>
          <w:szCs w:val="16"/>
        </w:rPr>
        <w:t>pn. „</w:t>
      </w:r>
      <w:r w:rsidRPr="004F5306">
        <w:rPr>
          <w:b/>
          <w:i/>
          <w:sz w:val="16"/>
          <w:szCs w:val="16"/>
        </w:rPr>
        <w:t>W kierunku</w:t>
      </w:r>
      <w:r w:rsidRPr="004F5306">
        <w:rPr>
          <w:rFonts w:cs="Arial"/>
          <w:b/>
          <w:i/>
          <w:iCs/>
          <w:sz w:val="16"/>
          <w:szCs w:val="16"/>
        </w:rPr>
        <w:t xml:space="preserve"> Smart City – Budowa otwartej platformy zintegrowanego zarządzania zrównoważonym rozwojem, bezpieczeństwem oraz usługami inteligentnego miasta, zwanej Platformą Smart City, w oparciu o rozbudowę Miejskiego Systemu Informacji Przestrzennej w Kielcach, modernizację systemu obiegu dokumentów oraz systemów finansowo – księgowych w Urzędzie Miasta Kielce i ich integrację”</w:t>
      </w:r>
    </w:p>
    <w:p w:rsidR="00C7386C" w:rsidRPr="004F5306" w:rsidRDefault="00C7386C" w:rsidP="00C7386C">
      <w:pPr>
        <w:jc w:val="right"/>
        <w:rPr>
          <w:b/>
          <w:sz w:val="18"/>
          <w:szCs w:val="18"/>
        </w:rPr>
      </w:pPr>
      <w:r>
        <w:rPr>
          <w:b/>
          <w:sz w:val="18"/>
          <w:szCs w:val="18"/>
        </w:rPr>
        <w:t xml:space="preserve">Szczegółowy </w:t>
      </w:r>
      <w:r w:rsidRPr="004F5306">
        <w:rPr>
          <w:b/>
          <w:sz w:val="18"/>
          <w:szCs w:val="18"/>
        </w:rPr>
        <w:t>Opis Przedmiotu Zamówienia</w:t>
      </w:r>
    </w:p>
    <w:p w:rsidR="00C7386C" w:rsidRPr="00A6472B" w:rsidRDefault="00C7386C" w:rsidP="00C7386C">
      <w:pPr>
        <w:jc w:val="right"/>
        <w:rPr>
          <w:b/>
          <w:sz w:val="20"/>
          <w:szCs w:val="20"/>
        </w:rPr>
      </w:pPr>
      <w:r>
        <w:rPr>
          <w:b/>
          <w:sz w:val="20"/>
          <w:szCs w:val="20"/>
        </w:rPr>
        <w:t>Załącznik nr 5</w:t>
      </w:r>
    </w:p>
    <w:p w:rsidR="007D1748" w:rsidRPr="007D1748" w:rsidRDefault="007D1748" w:rsidP="007D1748">
      <w:pPr>
        <w:pStyle w:val="Nagwek3"/>
        <w:numPr>
          <w:ilvl w:val="0"/>
          <w:numId w:val="0"/>
        </w:numPr>
        <w:ind w:left="720" w:hanging="720"/>
        <w:rPr>
          <w:rFonts w:asciiTheme="minorHAnsi" w:hAnsiTheme="minorHAnsi"/>
          <w:b/>
          <w:color w:val="auto"/>
        </w:rPr>
      </w:pPr>
      <w:bookmarkStart w:id="1" w:name="_Toc384885198"/>
      <w:bookmarkStart w:id="2" w:name="_Toc387350095"/>
      <w:bookmarkEnd w:id="0"/>
      <w:r>
        <w:rPr>
          <w:rFonts w:asciiTheme="minorHAnsi" w:hAnsiTheme="minorHAnsi"/>
          <w:b/>
          <w:color w:val="auto"/>
        </w:rPr>
        <w:t xml:space="preserve">1. </w:t>
      </w:r>
      <w:r w:rsidRPr="007D1748">
        <w:rPr>
          <w:rFonts w:asciiTheme="minorHAnsi" w:hAnsiTheme="minorHAnsi"/>
          <w:b/>
          <w:color w:val="auto"/>
        </w:rPr>
        <w:t>Słownik skrótów</w:t>
      </w:r>
      <w:bookmarkEnd w:id="1"/>
      <w:bookmarkEnd w:id="2"/>
    </w:p>
    <w:tbl>
      <w:tblPr>
        <w:tblW w:w="88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99"/>
        <w:gridCol w:w="1275"/>
        <w:gridCol w:w="6946"/>
      </w:tblGrid>
      <w:tr w:rsidR="007D1748" w:rsidRPr="00967802" w:rsidTr="00487C00">
        <w:tc>
          <w:tcPr>
            <w:tcW w:w="599" w:type="dxa"/>
            <w:shd w:val="clear" w:color="auto" w:fill="D9D9D9"/>
          </w:tcPr>
          <w:p w:rsidR="007D1748" w:rsidRPr="00967802" w:rsidRDefault="007D1748" w:rsidP="00487C00">
            <w:pPr>
              <w:pStyle w:val="Akapitzlist2"/>
              <w:spacing w:after="0"/>
              <w:ind w:left="0"/>
              <w:rPr>
                <w:rFonts w:cs="Calibri"/>
                <w:b/>
              </w:rPr>
            </w:pPr>
            <w:r w:rsidRPr="00967802">
              <w:rPr>
                <w:rFonts w:cs="Calibri"/>
                <w:b/>
              </w:rPr>
              <w:t>L.p.</w:t>
            </w:r>
          </w:p>
        </w:tc>
        <w:tc>
          <w:tcPr>
            <w:tcW w:w="1275" w:type="dxa"/>
            <w:shd w:val="clear" w:color="auto" w:fill="D9D9D9"/>
          </w:tcPr>
          <w:p w:rsidR="007D1748" w:rsidRPr="00967802" w:rsidRDefault="007D1748" w:rsidP="00487C00">
            <w:pPr>
              <w:pStyle w:val="Akapitzlist2"/>
              <w:spacing w:after="0"/>
              <w:ind w:left="0"/>
              <w:rPr>
                <w:rFonts w:cs="Calibri"/>
                <w:b/>
              </w:rPr>
            </w:pPr>
            <w:r w:rsidRPr="00967802">
              <w:rPr>
                <w:rFonts w:cs="Calibri"/>
                <w:b/>
              </w:rPr>
              <w:t>SKRÓT</w:t>
            </w:r>
          </w:p>
        </w:tc>
        <w:tc>
          <w:tcPr>
            <w:tcW w:w="6946" w:type="dxa"/>
            <w:shd w:val="clear" w:color="auto" w:fill="D9D9D9"/>
          </w:tcPr>
          <w:p w:rsidR="007D1748" w:rsidRPr="00967802" w:rsidRDefault="007D1748" w:rsidP="00487C00">
            <w:pPr>
              <w:pStyle w:val="Akapitzlist2"/>
              <w:spacing w:after="0"/>
              <w:ind w:left="0"/>
              <w:rPr>
                <w:rFonts w:cs="Calibri"/>
                <w:b/>
              </w:rPr>
            </w:pPr>
            <w:r w:rsidRPr="00967802">
              <w:rPr>
                <w:rFonts w:cs="Calibri"/>
                <w:b/>
              </w:rPr>
              <w:t>OPIS</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Pr>
                <w:b/>
                <w:sz w:val="20"/>
                <w:szCs w:val="20"/>
              </w:rPr>
              <w:t>API</w:t>
            </w:r>
          </w:p>
        </w:tc>
        <w:tc>
          <w:tcPr>
            <w:tcW w:w="6946" w:type="dxa"/>
          </w:tcPr>
          <w:p w:rsidR="007D1748" w:rsidRPr="00967802" w:rsidRDefault="007D1748" w:rsidP="00487C00">
            <w:pPr>
              <w:tabs>
                <w:tab w:val="left" w:pos="4270"/>
              </w:tabs>
              <w:spacing w:after="0"/>
              <w:contextualSpacing/>
              <w:rPr>
                <w:sz w:val="20"/>
                <w:szCs w:val="20"/>
              </w:rPr>
            </w:pPr>
            <w:r>
              <w:rPr>
                <w:sz w:val="20"/>
                <w:szCs w:val="20"/>
              </w:rPr>
              <w:t>S</w:t>
            </w:r>
            <w:r w:rsidRPr="00A921BB">
              <w:rPr>
                <w:sz w:val="20"/>
                <w:szCs w:val="20"/>
              </w:rPr>
              <w:t>posób, rozumiany jako ściśle określony zestaw reguł i ich opisów, w jaki programy komunikują się między sobą. API definiuje się na poziomie kodu źródłowego dla takich składników oprogramowania jak np. aplikacje, biblioteki czy system operacyjny. Zadaniem API jest dostarczenie odpowiednich specyfikacji podprogramów, struktur danych, klas obiektów i wymaganych protokołów komunikacyjnych.</w:t>
            </w:r>
          </w:p>
        </w:tc>
      </w:tr>
      <w:tr w:rsidR="007D1748" w:rsidRPr="00C7386C"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Default="007D1748" w:rsidP="00487C00">
            <w:pPr>
              <w:spacing w:after="0"/>
              <w:contextualSpacing/>
              <w:rPr>
                <w:b/>
                <w:sz w:val="20"/>
                <w:szCs w:val="20"/>
              </w:rPr>
            </w:pPr>
            <w:r>
              <w:rPr>
                <w:b/>
                <w:sz w:val="20"/>
                <w:szCs w:val="20"/>
              </w:rPr>
              <w:t>API-G</w:t>
            </w:r>
          </w:p>
        </w:tc>
        <w:tc>
          <w:tcPr>
            <w:tcW w:w="6946" w:type="dxa"/>
          </w:tcPr>
          <w:p w:rsidR="007D1748" w:rsidRPr="009B078D" w:rsidRDefault="007D1748" w:rsidP="00487C00">
            <w:pPr>
              <w:tabs>
                <w:tab w:val="left" w:pos="4270"/>
              </w:tabs>
              <w:spacing w:after="0"/>
              <w:contextualSpacing/>
              <w:rPr>
                <w:sz w:val="20"/>
                <w:szCs w:val="20"/>
                <w:lang w:val="en-GB"/>
              </w:rPr>
            </w:pPr>
            <w:proofErr w:type="spellStart"/>
            <w:r w:rsidRPr="009B078D">
              <w:rPr>
                <w:sz w:val="20"/>
                <w:szCs w:val="20"/>
                <w:lang w:val="en-GB"/>
              </w:rPr>
              <w:t>Komponent</w:t>
            </w:r>
            <w:proofErr w:type="spellEnd"/>
            <w:r w:rsidRPr="009B078D">
              <w:rPr>
                <w:sz w:val="20"/>
                <w:szCs w:val="20"/>
                <w:lang w:val="en-GB"/>
              </w:rPr>
              <w:t xml:space="preserve"> PSC – </w:t>
            </w:r>
            <w:proofErr w:type="spellStart"/>
            <w:r w:rsidRPr="009B078D">
              <w:rPr>
                <w:sz w:val="20"/>
                <w:szCs w:val="20"/>
                <w:lang w:val="en-GB"/>
              </w:rPr>
              <w:t>Interfejs</w:t>
            </w:r>
            <w:proofErr w:type="spellEnd"/>
            <w:r w:rsidRPr="009B078D">
              <w:rPr>
                <w:sz w:val="20"/>
                <w:szCs w:val="20"/>
                <w:lang w:val="en-GB"/>
              </w:rPr>
              <w:t xml:space="preserve"> API - geoportal</w:t>
            </w:r>
          </w:p>
        </w:tc>
      </w:tr>
      <w:tr w:rsidR="007D1748" w:rsidRPr="009B078D" w:rsidTr="00487C00">
        <w:tc>
          <w:tcPr>
            <w:tcW w:w="599" w:type="dxa"/>
          </w:tcPr>
          <w:p w:rsidR="007D1748" w:rsidRPr="009B078D" w:rsidRDefault="007D1748" w:rsidP="00487C00">
            <w:pPr>
              <w:pStyle w:val="Akapitzlist2"/>
              <w:numPr>
                <w:ilvl w:val="0"/>
                <w:numId w:val="1"/>
              </w:numPr>
              <w:spacing w:after="0"/>
              <w:ind w:left="491"/>
              <w:rPr>
                <w:rFonts w:cs="Calibri"/>
                <w:lang w:val="en-GB"/>
              </w:rPr>
            </w:pPr>
          </w:p>
        </w:tc>
        <w:tc>
          <w:tcPr>
            <w:tcW w:w="1275" w:type="dxa"/>
          </w:tcPr>
          <w:p w:rsidR="007D1748" w:rsidRPr="009B078D" w:rsidRDefault="007D1748" w:rsidP="00487C00">
            <w:pPr>
              <w:spacing w:after="0"/>
              <w:contextualSpacing/>
              <w:rPr>
                <w:b/>
                <w:sz w:val="20"/>
                <w:szCs w:val="20"/>
                <w:lang w:val="en-GB"/>
              </w:rPr>
            </w:pPr>
            <w:r>
              <w:rPr>
                <w:b/>
                <w:sz w:val="20"/>
                <w:szCs w:val="20"/>
                <w:lang w:val="en-GB"/>
              </w:rPr>
              <w:t>API-W</w:t>
            </w:r>
          </w:p>
        </w:tc>
        <w:tc>
          <w:tcPr>
            <w:tcW w:w="6946" w:type="dxa"/>
          </w:tcPr>
          <w:p w:rsidR="007D1748" w:rsidRPr="009B078D" w:rsidRDefault="007D1748" w:rsidP="00487C00">
            <w:pPr>
              <w:tabs>
                <w:tab w:val="left" w:pos="4270"/>
              </w:tabs>
              <w:spacing w:after="0"/>
              <w:contextualSpacing/>
              <w:rPr>
                <w:sz w:val="20"/>
                <w:szCs w:val="20"/>
              </w:rPr>
            </w:pPr>
            <w:r w:rsidRPr="009B078D">
              <w:rPr>
                <w:sz w:val="20"/>
                <w:szCs w:val="20"/>
              </w:rPr>
              <w:t>Komponent PSC – Interfejs API - wskaźniki</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bookmarkStart w:id="3" w:name="_GoBack"/>
            <w:bookmarkEnd w:id="3"/>
          </w:p>
        </w:tc>
        <w:tc>
          <w:tcPr>
            <w:tcW w:w="1275" w:type="dxa"/>
          </w:tcPr>
          <w:p w:rsidR="007D1748" w:rsidRPr="00967802" w:rsidRDefault="007D1748" w:rsidP="00487C00">
            <w:pPr>
              <w:spacing w:after="0"/>
              <w:contextualSpacing/>
              <w:rPr>
                <w:b/>
                <w:sz w:val="20"/>
                <w:szCs w:val="20"/>
              </w:rPr>
            </w:pPr>
            <w:r>
              <w:rPr>
                <w:b/>
                <w:sz w:val="20"/>
                <w:szCs w:val="20"/>
              </w:rPr>
              <w:t>ETL</w:t>
            </w:r>
          </w:p>
        </w:tc>
        <w:tc>
          <w:tcPr>
            <w:tcW w:w="6946" w:type="dxa"/>
          </w:tcPr>
          <w:p w:rsidR="007D1748" w:rsidRPr="00001F5F" w:rsidRDefault="007D1748" w:rsidP="00487C00">
            <w:pPr>
              <w:tabs>
                <w:tab w:val="left" w:pos="4270"/>
              </w:tabs>
              <w:spacing w:after="0"/>
              <w:contextualSpacing/>
              <w:rPr>
                <w:sz w:val="20"/>
                <w:szCs w:val="20"/>
              </w:rPr>
            </w:pPr>
            <w:r w:rsidRPr="00001F5F">
              <w:rPr>
                <w:sz w:val="20"/>
                <w:szCs w:val="20"/>
              </w:rPr>
              <w:t xml:space="preserve">(ang. </w:t>
            </w:r>
            <w:proofErr w:type="spellStart"/>
            <w:r w:rsidRPr="00001F5F">
              <w:rPr>
                <w:sz w:val="20"/>
                <w:szCs w:val="20"/>
              </w:rPr>
              <w:t>Extract</w:t>
            </w:r>
            <w:proofErr w:type="spellEnd"/>
            <w:r w:rsidRPr="00001F5F">
              <w:rPr>
                <w:sz w:val="20"/>
                <w:szCs w:val="20"/>
              </w:rPr>
              <w:t xml:space="preserve">, </w:t>
            </w:r>
            <w:proofErr w:type="spellStart"/>
            <w:r w:rsidRPr="00001F5F">
              <w:rPr>
                <w:sz w:val="20"/>
                <w:szCs w:val="20"/>
              </w:rPr>
              <w:t>Transform</w:t>
            </w:r>
            <w:proofErr w:type="spellEnd"/>
            <w:r w:rsidRPr="00001F5F">
              <w:rPr>
                <w:sz w:val="20"/>
                <w:szCs w:val="20"/>
              </w:rPr>
              <w:t xml:space="preserve"> and </w:t>
            </w:r>
            <w:proofErr w:type="spellStart"/>
            <w:r w:rsidRPr="00001F5F">
              <w:rPr>
                <w:sz w:val="20"/>
                <w:szCs w:val="20"/>
              </w:rPr>
              <w:t>Load</w:t>
            </w:r>
            <w:proofErr w:type="spellEnd"/>
            <w:r w:rsidRPr="00001F5F">
              <w:rPr>
                <w:sz w:val="20"/>
                <w:szCs w:val="20"/>
              </w:rPr>
              <w:t>) – narzędzia wspomagające proces pozyskania danych dla baz danych, szczególnie dla hurtowni danych.</w:t>
            </w:r>
            <w:r>
              <w:rPr>
                <w:sz w:val="20"/>
                <w:szCs w:val="20"/>
              </w:rPr>
              <w:t xml:space="preserve"> </w:t>
            </w:r>
            <w:r w:rsidRPr="00001F5F">
              <w:rPr>
                <w:sz w:val="20"/>
                <w:szCs w:val="20"/>
              </w:rPr>
              <w:t>Zadaniem narzędzi ETL jest:</w:t>
            </w:r>
          </w:p>
          <w:p w:rsidR="007D1748" w:rsidRPr="00001F5F" w:rsidRDefault="007D1748" w:rsidP="00487C00">
            <w:pPr>
              <w:pStyle w:val="Akapitzlist"/>
              <w:numPr>
                <w:ilvl w:val="0"/>
                <w:numId w:val="6"/>
              </w:numPr>
              <w:tabs>
                <w:tab w:val="left" w:pos="4270"/>
              </w:tabs>
              <w:spacing w:after="0"/>
              <w:rPr>
                <w:sz w:val="20"/>
              </w:rPr>
            </w:pPr>
            <w:r w:rsidRPr="00001F5F">
              <w:rPr>
                <w:sz w:val="20"/>
              </w:rPr>
              <w:t>pozyskanie danych ze źródeł zewnętrznych,</w:t>
            </w:r>
          </w:p>
          <w:p w:rsidR="007D1748" w:rsidRPr="00001F5F" w:rsidRDefault="007D1748" w:rsidP="00487C00">
            <w:pPr>
              <w:pStyle w:val="Akapitzlist"/>
              <w:numPr>
                <w:ilvl w:val="0"/>
                <w:numId w:val="6"/>
              </w:numPr>
              <w:tabs>
                <w:tab w:val="left" w:pos="4270"/>
              </w:tabs>
              <w:spacing w:after="0"/>
              <w:rPr>
                <w:sz w:val="20"/>
              </w:rPr>
            </w:pPr>
            <w:r w:rsidRPr="00001F5F">
              <w:rPr>
                <w:sz w:val="20"/>
              </w:rPr>
              <w:t>przekształcenie danych,</w:t>
            </w:r>
          </w:p>
          <w:p w:rsidR="007D1748" w:rsidRPr="00001F5F" w:rsidRDefault="007D1748" w:rsidP="00487C00">
            <w:pPr>
              <w:pStyle w:val="Akapitzlist"/>
              <w:numPr>
                <w:ilvl w:val="0"/>
                <w:numId w:val="6"/>
              </w:numPr>
              <w:tabs>
                <w:tab w:val="left" w:pos="4270"/>
              </w:tabs>
              <w:spacing w:after="0"/>
              <w:rPr>
                <w:sz w:val="20"/>
              </w:rPr>
            </w:pPr>
            <w:r w:rsidRPr="00001F5F">
              <w:rPr>
                <w:sz w:val="20"/>
              </w:rPr>
              <w:t>załadowanie danych do bazy danych (zazwyczaj będącej hurtownią danych).</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sidRPr="00967802">
              <w:rPr>
                <w:b/>
                <w:sz w:val="20"/>
                <w:szCs w:val="20"/>
              </w:rPr>
              <w:t>ISDP</w:t>
            </w:r>
          </w:p>
        </w:tc>
        <w:tc>
          <w:tcPr>
            <w:tcW w:w="6946" w:type="dxa"/>
          </w:tcPr>
          <w:p w:rsidR="007D1748" w:rsidRPr="00967802" w:rsidRDefault="007D1748" w:rsidP="00487C00">
            <w:pPr>
              <w:spacing w:after="0"/>
              <w:contextualSpacing/>
              <w:rPr>
                <w:sz w:val="20"/>
                <w:szCs w:val="20"/>
              </w:rPr>
            </w:pPr>
            <w:r w:rsidRPr="00967802">
              <w:rPr>
                <w:sz w:val="20"/>
                <w:szCs w:val="20"/>
              </w:rPr>
              <w:t>Internetowy Serwer Danych Przestrzennych</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sidRPr="00967802">
              <w:rPr>
                <w:b/>
                <w:sz w:val="20"/>
                <w:szCs w:val="20"/>
              </w:rPr>
              <w:t>ISO</w:t>
            </w:r>
          </w:p>
        </w:tc>
        <w:tc>
          <w:tcPr>
            <w:tcW w:w="6946" w:type="dxa"/>
          </w:tcPr>
          <w:p w:rsidR="007D1748" w:rsidRPr="00967802" w:rsidRDefault="007D1748" w:rsidP="00487C00">
            <w:pPr>
              <w:spacing w:after="0"/>
              <w:contextualSpacing/>
              <w:rPr>
                <w:sz w:val="20"/>
                <w:szCs w:val="20"/>
              </w:rPr>
            </w:pPr>
            <w:r w:rsidRPr="00967802">
              <w:rPr>
                <w:sz w:val="20"/>
                <w:szCs w:val="20"/>
              </w:rPr>
              <w:t xml:space="preserve">ang. International Organization for </w:t>
            </w:r>
            <w:proofErr w:type="spellStart"/>
            <w:r w:rsidRPr="00967802">
              <w:rPr>
                <w:sz w:val="20"/>
                <w:szCs w:val="20"/>
              </w:rPr>
              <w:t>Standardization</w:t>
            </w:r>
            <w:proofErr w:type="spellEnd"/>
            <w:r w:rsidRPr="00967802">
              <w:rPr>
                <w:sz w:val="20"/>
                <w:szCs w:val="20"/>
              </w:rPr>
              <w:t xml:space="preserve"> - Międzynarodowa Organizacja Normalizacyjna</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sidRPr="00967802">
              <w:rPr>
                <w:b/>
                <w:sz w:val="20"/>
                <w:szCs w:val="20"/>
              </w:rPr>
              <w:t>KRI</w:t>
            </w:r>
          </w:p>
        </w:tc>
        <w:tc>
          <w:tcPr>
            <w:tcW w:w="6946" w:type="dxa"/>
          </w:tcPr>
          <w:p w:rsidR="007D1748" w:rsidRPr="00967802" w:rsidRDefault="007D1748" w:rsidP="00487C00">
            <w:pPr>
              <w:spacing w:after="0"/>
              <w:contextualSpacing/>
              <w:rPr>
                <w:sz w:val="20"/>
                <w:szCs w:val="20"/>
              </w:rPr>
            </w:pPr>
            <w:r w:rsidRPr="00967802">
              <w:rPr>
                <w:sz w:val="20"/>
                <w:szCs w:val="20"/>
              </w:rPr>
              <w:t>Rozporządzenie Rady Ministrów z dnia 12 kwietnia 2012 r. w sprawie Krajowych Ram Interoperacyjności, minimalnych wymagań dla rejestrów publicznych i wymiany informacji w postaci elektronicznej oraz minimalnych wymagań dla systemów teleinformatycznych</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sidRPr="00967802">
              <w:rPr>
                <w:b/>
                <w:sz w:val="20"/>
                <w:szCs w:val="20"/>
              </w:rPr>
              <w:t>PAW</w:t>
            </w:r>
          </w:p>
        </w:tc>
        <w:tc>
          <w:tcPr>
            <w:tcW w:w="6946" w:type="dxa"/>
          </w:tcPr>
          <w:p w:rsidR="007D1748" w:rsidRPr="00967802" w:rsidRDefault="007D1748" w:rsidP="00487C00">
            <w:pPr>
              <w:spacing w:after="0"/>
              <w:contextualSpacing/>
              <w:rPr>
                <w:sz w:val="20"/>
                <w:szCs w:val="20"/>
              </w:rPr>
            </w:pPr>
            <w:r w:rsidRPr="00967802">
              <w:rPr>
                <w:sz w:val="20"/>
                <w:szCs w:val="20"/>
              </w:rPr>
              <w:t>Platforma Aktywnej Współpracy</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sidRPr="00967802">
              <w:rPr>
                <w:b/>
                <w:sz w:val="20"/>
                <w:szCs w:val="20"/>
              </w:rPr>
              <w:t>SOWA</w:t>
            </w:r>
          </w:p>
        </w:tc>
        <w:tc>
          <w:tcPr>
            <w:tcW w:w="6946" w:type="dxa"/>
          </w:tcPr>
          <w:p w:rsidR="007D1748" w:rsidRPr="00967802" w:rsidRDefault="007D1748" w:rsidP="00487C00">
            <w:pPr>
              <w:tabs>
                <w:tab w:val="left" w:pos="4270"/>
              </w:tabs>
              <w:spacing w:after="0"/>
              <w:contextualSpacing/>
              <w:rPr>
                <w:sz w:val="20"/>
                <w:szCs w:val="20"/>
              </w:rPr>
            </w:pPr>
            <w:r w:rsidRPr="00967802">
              <w:rPr>
                <w:sz w:val="20"/>
                <w:szCs w:val="20"/>
              </w:rPr>
              <w:t>System Obsługi Wniosków Administracyjnych</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sidRPr="00967802">
              <w:rPr>
                <w:b/>
                <w:sz w:val="20"/>
                <w:szCs w:val="20"/>
              </w:rPr>
              <w:t>TIK</w:t>
            </w:r>
          </w:p>
        </w:tc>
        <w:tc>
          <w:tcPr>
            <w:tcW w:w="6946" w:type="dxa"/>
          </w:tcPr>
          <w:p w:rsidR="007D1748" w:rsidRPr="00967802" w:rsidRDefault="007D1748" w:rsidP="00487C00">
            <w:pPr>
              <w:spacing w:after="0"/>
              <w:contextualSpacing/>
              <w:rPr>
                <w:sz w:val="20"/>
                <w:szCs w:val="20"/>
              </w:rPr>
            </w:pPr>
            <w:r w:rsidRPr="00967802">
              <w:rPr>
                <w:sz w:val="20"/>
                <w:szCs w:val="20"/>
              </w:rPr>
              <w:t xml:space="preserve">Technologie </w:t>
            </w:r>
            <w:proofErr w:type="spellStart"/>
            <w:r w:rsidRPr="00967802">
              <w:rPr>
                <w:sz w:val="20"/>
                <w:szCs w:val="20"/>
              </w:rPr>
              <w:t>informacyjno</w:t>
            </w:r>
            <w:proofErr w:type="spellEnd"/>
            <w:r w:rsidRPr="00967802">
              <w:rPr>
                <w:sz w:val="20"/>
                <w:szCs w:val="20"/>
              </w:rPr>
              <w:t xml:space="preserve"> - komunikacyjne</w:t>
            </w:r>
          </w:p>
        </w:tc>
      </w:tr>
    </w:tbl>
    <w:p w:rsidR="007D1748" w:rsidRPr="007D1748" w:rsidRDefault="007D1748" w:rsidP="007D1748">
      <w:pPr>
        <w:pStyle w:val="Nagwek3"/>
        <w:numPr>
          <w:ilvl w:val="0"/>
          <w:numId w:val="8"/>
        </w:numPr>
        <w:rPr>
          <w:rFonts w:asciiTheme="minorHAnsi" w:hAnsiTheme="minorHAnsi"/>
          <w:b/>
          <w:color w:val="auto"/>
        </w:rPr>
      </w:pPr>
      <w:bookmarkStart w:id="4" w:name="_Toc384885199"/>
      <w:bookmarkStart w:id="5" w:name="_Toc387350096"/>
      <w:r w:rsidRPr="007D1748">
        <w:rPr>
          <w:rFonts w:asciiTheme="minorHAnsi" w:hAnsiTheme="minorHAnsi"/>
          <w:b/>
          <w:color w:val="auto"/>
        </w:rPr>
        <w:t>Słownik pojęć</w:t>
      </w:r>
      <w:bookmarkEnd w:id="4"/>
      <w:bookmarkEnd w:id="5"/>
    </w:p>
    <w:tbl>
      <w:tblPr>
        <w:tblStyle w:val="24GIS"/>
        <w:tblW w:w="0" w:type="auto"/>
        <w:tblLook w:val="00A0" w:firstRow="1" w:lastRow="0" w:firstColumn="1" w:lastColumn="0" w:noHBand="0" w:noVBand="0"/>
      </w:tblPr>
      <w:tblGrid>
        <w:gridCol w:w="599"/>
        <w:gridCol w:w="1914"/>
        <w:gridCol w:w="6378"/>
      </w:tblGrid>
      <w:tr w:rsidR="007D1748" w:rsidRPr="00967802" w:rsidTr="00487C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spacing w:after="0"/>
              <w:rPr>
                <w:b w:val="0"/>
              </w:rPr>
            </w:pPr>
            <w:r w:rsidRPr="00967802">
              <w:rPr>
                <w:b w:val="0"/>
              </w:rPr>
              <w:t>L.p.</w:t>
            </w:r>
          </w:p>
        </w:tc>
        <w:tc>
          <w:tcPr>
            <w:tcW w:w="1914" w:type="dxa"/>
          </w:tcPr>
          <w:p w:rsidR="007D1748" w:rsidRPr="00967802" w:rsidRDefault="007D1748" w:rsidP="00487C00">
            <w:pPr>
              <w:spacing w:after="0"/>
              <w:cnfStyle w:val="100000000000" w:firstRow="1" w:lastRow="0" w:firstColumn="0" w:lastColumn="0" w:oddVBand="0" w:evenVBand="0" w:oddHBand="0" w:evenHBand="0" w:firstRowFirstColumn="0" w:firstRowLastColumn="0" w:lastRowFirstColumn="0" w:lastRowLastColumn="0"/>
              <w:rPr>
                <w:b w:val="0"/>
              </w:rPr>
            </w:pPr>
            <w:r w:rsidRPr="00967802">
              <w:rPr>
                <w:b w:val="0"/>
              </w:rPr>
              <w:t>POJĘCIE</w:t>
            </w:r>
          </w:p>
        </w:tc>
        <w:tc>
          <w:tcPr>
            <w:tcW w:w="6378" w:type="dxa"/>
          </w:tcPr>
          <w:p w:rsidR="007D1748" w:rsidRPr="00967802" w:rsidRDefault="007D1748" w:rsidP="00487C00">
            <w:pPr>
              <w:spacing w:after="0"/>
              <w:cnfStyle w:val="100000000000" w:firstRow="1" w:lastRow="0" w:firstColumn="0" w:lastColumn="0" w:oddVBand="0" w:evenVBand="0" w:oddHBand="0" w:evenHBand="0" w:firstRowFirstColumn="0" w:firstRowLastColumn="0" w:lastRowFirstColumn="0" w:lastRowLastColumn="0"/>
              <w:rPr>
                <w:b w:val="0"/>
              </w:rPr>
            </w:pPr>
            <w:r w:rsidRPr="00967802">
              <w:rPr>
                <w:b w:val="0"/>
              </w:rPr>
              <w:t>OPIS</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b/>
                <w:sz w:val="20"/>
              </w:rPr>
            </w:pPr>
            <w:r w:rsidRPr="00967802">
              <w:rPr>
                <w:b/>
                <w:sz w:val="20"/>
              </w:rPr>
              <w:t>5 Stars Open Data</w:t>
            </w:r>
          </w:p>
        </w:tc>
        <w:tc>
          <w:tcPr>
            <w:tcW w:w="6378" w:type="dxa"/>
          </w:tcPr>
          <w:p w:rsidR="007D1748" w:rsidRPr="00967802" w:rsidRDefault="007D1748" w:rsidP="00487C00">
            <w:pP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rPr>
            </w:pPr>
            <w:r w:rsidRPr="00967802">
              <w:rPr>
                <w:rFonts w:eastAsia="Times New Roman"/>
                <w:bCs/>
                <w:color w:val="000000"/>
                <w:sz w:val="20"/>
              </w:rPr>
              <w:t xml:space="preserve">Skala oceny otwartości publikowanych w Internecie zasobów danych. Zgodnie z przyjętymi dla projektów informatycznych wytycznymi W3C usługi udostępniania danych (nie: informacji) zostały opisane w pięciopoziomowej skali opracowanej przez Tima </w:t>
            </w:r>
            <w:proofErr w:type="spellStart"/>
            <w:r w:rsidRPr="00967802">
              <w:rPr>
                <w:rFonts w:eastAsia="Times New Roman"/>
                <w:bCs/>
                <w:color w:val="000000"/>
                <w:sz w:val="20"/>
              </w:rPr>
              <w:t>Bernes’a</w:t>
            </w:r>
            <w:proofErr w:type="spellEnd"/>
            <w:r w:rsidRPr="00967802">
              <w:rPr>
                <w:rFonts w:eastAsia="Times New Roman"/>
                <w:bCs/>
                <w:color w:val="000000"/>
                <w:sz w:val="20"/>
              </w:rPr>
              <w:t xml:space="preserve"> Lee (tzw. „Five Stars Open Data”</w:t>
            </w:r>
            <w:r w:rsidRPr="00967802">
              <w:rPr>
                <w:rStyle w:val="TytuZnak"/>
                <w:rFonts w:eastAsia="Calibri"/>
                <w:bCs/>
                <w:color w:val="000000"/>
                <w:sz w:val="20"/>
              </w:rPr>
              <w:footnoteReference w:id="1"/>
            </w:r>
            <w:r w:rsidRPr="00967802">
              <w:rPr>
                <w:rFonts w:eastAsia="Times New Roman"/>
                <w:bCs/>
                <w:color w:val="000000"/>
                <w:sz w:val="20"/>
              </w:rPr>
              <w:t xml:space="preserve">), </w:t>
            </w:r>
          </w:p>
          <w:p w:rsidR="007D1748" w:rsidRPr="00967802" w:rsidRDefault="007D1748" w:rsidP="00487C00">
            <w:pP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rPr>
            </w:pPr>
            <w:r w:rsidRPr="00967802">
              <w:rPr>
                <w:rFonts w:eastAsia="Times New Roman"/>
                <w:b/>
                <w:bCs/>
                <w:color w:val="000000"/>
                <w:sz w:val="20"/>
              </w:rPr>
              <w:t>Poziom pierwszy (</w:t>
            </w:r>
            <w:r w:rsidRPr="00967802">
              <w:rPr>
                <w:rFonts w:eastAsia="Times New Roman"/>
                <w:b/>
                <w:bCs/>
                <w:color w:val="A6A6A6" w:themeColor="background1" w:themeShade="A6"/>
                <w:sz w:val="20"/>
              </w:rPr>
              <w:sym w:font="Wingdings" w:char="F0AB"/>
            </w:r>
            <w:r w:rsidRPr="00967802">
              <w:rPr>
                <w:rFonts w:eastAsia="Times New Roman"/>
                <w:b/>
                <w:bCs/>
                <w:color w:val="000000"/>
                <w:sz w:val="20"/>
              </w:rPr>
              <w:t>):</w:t>
            </w:r>
            <w:r w:rsidRPr="00967802">
              <w:rPr>
                <w:rFonts w:eastAsia="Times New Roman"/>
                <w:bCs/>
                <w:color w:val="000000"/>
                <w:sz w:val="20"/>
              </w:rPr>
              <w:t xml:space="preserve"> oznacza udostępnienie danych na stronach WWW w dowolnym ogólnodostępnym formacie (np. PDF-skan, HTML, JPG).</w:t>
            </w:r>
          </w:p>
          <w:p w:rsidR="007D1748" w:rsidRPr="00967802" w:rsidRDefault="007D1748" w:rsidP="00487C00">
            <w:pP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rPr>
            </w:pPr>
            <w:r w:rsidRPr="00967802">
              <w:rPr>
                <w:rFonts w:eastAsia="Times New Roman"/>
                <w:b/>
                <w:bCs/>
                <w:color w:val="000000"/>
                <w:sz w:val="20"/>
              </w:rPr>
              <w:t>Poziom drugi (</w:t>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000000"/>
                <w:sz w:val="20"/>
              </w:rPr>
              <w:t xml:space="preserve">): </w:t>
            </w:r>
            <w:r w:rsidRPr="00967802">
              <w:rPr>
                <w:rFonts w:eastAsia="Times New Roman"/>
                <w:bCs/>
                <w:color w:val="000000"/>
                <w:sz w:val="20"/>
              </w:rPr>
              <w:t>oznacza udostępnianie danych w postaci dowolnego pliku tabelarycznego (np. XLS).</w:t>
            </w:r>
          </w:p>
          <w:p w:rsidR="007D1748" w:rsidRPr="00967802" w:rsidRDefault="007D1748" w:rsidP="00487C00">
            <w:pP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rPr>
            </w:pPr>
            <w:r w:rsidRPr="00967802">
              <w:rPr>
                <w:rFonts w:eastAsia="Times New Roman"/>
                <w:b/>
                <w:bCs/>
                <w:color w:val="000000"/>
                <w:sz w:val="20"/>
              </w:rPr>
              <w:lastRenderedPageBreak/>
              <w:t>Poziom trzeci (</w:t>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000000"/>
                <w:sz w:val="20"/>
              </w:rPr>
              <w:t xml:space="preserve">): </w:t>
            </w:r>
            <w:r w:rsidRPr="00967802">
              <w:rPr>
                <w:rFonts w:eastAsia="Times New Roman"/>
                <w:bCs/>
                <w:color w:val="000000"/>
                <w:sz w:val="20"/>
              </w:rPr>
              <w:t>oznacza udostępnianie danych w postaci dowolnego pliku tabelarycznego, ale o otwartej strukturze, niezwiązanej z producentem konkretnego oprogramowania (np. CSV,  XML).</w:t>
            </w:r>
          </w:p>
          <w:p w:rsidR="007D1748" w:rsidRPr="00967802" w:rsidRDefault="007D1748" w:rsidP="00487C00">
            <w:pP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rPr>
            </w:pPr>
            <w:r w:rsidRPr="00967802">
              <w:rPr>
                <w:rFonts w:eastAsia="Times New Roman"/>
                <w:b/>
                <w:bCs/>
                <w:color w:val="000000"/>
                <w:sz w:val="20"/>
              </w:rPr>
              <w:t>Poziom czwarty (</w:t>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000000"/>
                <w:sz w:val="20"/>
              </w:rPr>
              <w:t xml:space="preserve">): </w:t>
            </w:r>
            <w:r w:rsidRPr="00967802">
              <w:rPr>
                <w:rFonts w:eastAsia="Times New Roman"/>
                <w:bCs/>
                <w:color w:val="000000"/>
                <w:sz w:val="20"/>
              </w:rPr>
              <w:t xml:space="preserve">oznacza udostępnianie danych z wykorzystaniem odnośników URI i wykorzystaniem technologii RDF opisującej dane (ang. Uniform Resource </w:t>
            </w:r>
            <w:proofErr w:type="spellStart"/>
            <w:r w:rsidRPr="00967802">
              <w:rPr>
                <w:rFonts w:eastAsia="Times New Roman"/>
                <w:bCs/>
                <w:color w:val="000000"/>
                <w:sz w:val="20"/>
              </w:rPr>
              <w:t>Identifier</w:t>
            </w:r>
            <w:proofErr w:type="spellEnd"/>
            <w:r w:rsidRPr="00967802">
              <w:rPr>
                <w:rFonts w:eastAsia="Times New Roman"/>
                <w:bCs/>
                <w:color w:val="000000"/>
                <w:sz w:val="20"/>
              </w:rPr>
              <w:t xml:space="preserve"> - Ujednolicony Identyfikator Zasobów) (http://5stardata.info/en/examples/gtd-4/).</w:t>
            </w:r>
          </w:p>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rFonts w:cs="Tahoma"/>
                <w:bCs/>
                <w:sz w:val="20"/>
              </w:rPr>
            </w:pPr>
            <w:r w:rsidRPr="00967802">
              <w:rPr>
                <w:rFonts w:eastAsia="Times New Roman"/>
                <w:b/>
                <w:bCs/>
                <w:color w:val="000000"/>
                <w:sz w:val="20"/>
              </w:rPr>
              <w:t>Poziom piąty (</w:t>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000000"/>
                <w:sz w:val="20"/>
              </w:rPr>
              <w:t xml:space="preserve">): </w:t>
            </w:r>
            <w:r w:rsidRPr="00967802">
              <w:rPr>
                <w:rFonts w:eastAsia="Times New Roman"/>
                <w:bCs/>
                <w:color w:val="000000"/>
                <w:sz w:val="20"/>
              </w:rPr>
              <w:t>oznacza spełnienie poziomu czwartego oraz wykorzystanie kontekstowych odnośników URI do innych źródeł) (np. http://5stardata.info/en/examples/gtd-5/ - przy wywołaniu w przeglądarce konkretnych danych temperatury, analogicznie jak w poziomie czwartym, oraz dodatkowo z nagłówka tabeli dostępny jest link do hasła „Temperatura” na Wikipedii.).</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b/>
                <w:sz w:val="20"/>
              </w:rPr>
            </w:pPr>
            <w:r w:rsidRPr="00967802">
              <w:rPr>
                <w:b/>
                <w:sz w:val="20"/>
              </w:rPr>
              <w:t>Architektura logiczna systemu</w:t>
            </w:r>
          </w:p>
        </w:tc>
        <w:tc>
          <w:tcPr>
            <w:tcW w:w="6378"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sz w:val="20"/>
              </w:rPr>
            </w:pPr>
            <w:r w:rsidRPr="00967802">
              <w:rPr>
                <w:rFonts w:cs="Tahoma"/>
                <w:bCs/>
                <w:sz w:val="20"/>
              </w:rPr>
              <w:t>Architekturę logiczną systemu należy rozumieć, jako schemat głównych komponentów systemu, ich interfejsów, powiązań i zależności między nimi a także wzorców architektonicznych. Komponentami systemu są logicznie wydzielone części realizujące określony zestaw funkcji systemu. Architektura logiczna przedstawia pełen zbiór aplikacji/modułów/podsystemów i innych komponentów, które muszą zostać wytworzone, a następnie zainstalowane w odpowiedniej konfiguracji aby realizować cele i zadania stawiane przed systemem (opisane ogólnie w modelu konceptualnym).</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b/>
                <w:sz w:val="20"/>
              </w:rPr>
            </w:pPr>
            <w:r w:rsidRPr="00967802">
              <w:rPr>
                <w:b/>
                <w:sz w:val="20"/>
              </w:rPr>
              <w:t>Architektura oprogramowania</w:t>
            </w:r>
          </w:p>
        </w:tc>
        <w:tc>
          <w:tcPr>
            <w:tcW w:w="6378"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sz w:val="20"/>
              </w:rPr>
            </w:pPr>
            <w:r w:rsidRPr="00967802">
              <w:rPr>
                <w:sz w:val="20"/>
              </w:rPr>
              <w:t>Teoretyczny model budowy i funkcjonowania systemu informatycznego uwzględniający najważniejsze elementy funkcjonalne (komponenty) systemu oraz zależności między nimi. Architektura oprogramowania nie może być utożsamiana z infrastrukturą sprzętową systemu.</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67802"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b/>
                <w:sz w:val="20"/>
              </w:rPr>
            </w:pPr>
            <w:r w:rsidRPr="00967802">
              <w:rPr>
                <w:b/>
                <w:sz w:val="20"/>
              </w:rPr>
              <w:t>Atrybut</w:t>
            </w:r>
          </w:p>
        </w:tc>
        <w:tc>
          <w:tcPr>
            <w:tcW w:w="6378" w:type="dxa"/>
          </w:tcPr>
          <w:p w:rsidR="007D1748" w:rsidRPr="00967802"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sz w:val="20"/>
              </w:rPr>
            </w:pPr>
            <w:r w:rsidRPr="00967802">
              <w:rPr>
                <w:sz w:val="20"/>
              </w:rPr>
              <w:t>Oznacza cechę typu</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b/>
                <w:sz w:val="20"/>
              </w:rPr>
            </w:pPr>
            <w:r>
              <w:rPr>
                <w:b/>
                <w:sz w:val="20"/>
              </w:rPr>
              <w:t>Komponenty aplikacyjne</w:t>
            </w:r>
          </w:p>
        </w:tc>
        <w:tc>
          <w:tcPr>
            <w:tcW w:w="6378"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sz w:val="20"/>
              </w:rPr>
            </w:pPr>
            <w:r>
              <w:rPr>
                <w:rFonts w:eastAsia="Times New Roman"/>
                <w:szCs w:val="24"/>
              </w:rPr>
              <w:t>Komponenty technologiczne konieczne do dostarczenia, które zawierają funkcjonalności systemu wyrażone poprzez wymagania. W ramach komponentów aplikacyjnych zgrupowane są komponenty architektury logicznej systemu.</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b/>
                <w:sz w:val="20"/>
              </w:rPr>
            </w:pPr>
            <w:r w:rsidRPr="009033C8">
              <w:rPr>
                <w:b/>
                <w:sz w:val="20"/>
              </w:rPr>
              <w:t>Metadane</w:t>
            </w:r>
          </w:p>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b/>
                <w:sz w:val="20"/>
              </w:rPr>
            </w:pPr>
          </w:p>
        </w:tc>
        <w:tc>
          <w:tcPr>
            <w:tcW w:w="6378" w:type="dxa"/>
          </w:tcPr>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sz w:val="20"/>
              </w:rPr>
            </w:pPr>
            <w:r w:rsidRPr="009033C8">
              <w:rPr>
                <w:sz w:val="20"/>
              </w:rPr>
              <w:t>Informacje, które opisują dane przestrzenne oraz usługi danych przestrzennych i umożliwiają odnalezienie, inwentaryzację i używanie tych danych i usług.</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b/>
                <w:sz w:val="20"/>
              </w:rPr>
            </w:pPr>
            <w:r w:rsidRPr="009033C8">
              <w:rPr>
                <w:b/>
                <w:sz w:val="20"/>
              </w:rPr>
              <w:t>Moduł</w:t>
            </w:r>
          </w:p>
        </w:tc>
        <w:tc>
          <w:tcPr>
            <w:tcW w:w="6378" w:type="dxa"/>
          </w:tcPr>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sz w:val="20"/>
              </w:rPr>
            </w:pPr>
            <w:r w:rsidRPr="009033C8">
              <w:rPr>
                <w:sz w:val="20"/>
              </w:rPr>
              <w:t>Część oprogramowania Systemu, będącą elementem Komponentu PSC oraz  realizującą jego określone usługi.</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b/>
                <w:sz w:val="20"/>
              </w:rPr>
            </w:pPr>
            <w:r w:rsidRPr="009033C8">
              <w:rPr>
                <w:b/>
                <w:sz w:val="20"/>
              </w:rPr>
              <w:t>Platforma Smart City</w:t>
            </w:r>
          </w:p>
        </w:tc>
        <w:tc>
          <w:tcPr>
            <w:tcW w:w="6378" w:type="dxa"/>
          </w:tcPr>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sz w:val="20"/>
              </w:rPr>
            </w:pPr>
            <w:r w:rsidRPr="009033C8">
              <w:rPr>
                <w:sz w:val="20"/>
              </w:rPr>
              <w:t xml:space="preserve">Platforma zintegrowanego zarządzania zrównoważonym rozwojem, bezpieczeństwem oraz usługami inteligentnego Miasta z wykorzystaniem Miejskiego Systemu </w:t>
            </w:r>
            <w:proofErr w:type="spellStart"/>
            <w:r w:rsidRPr="009033C8">
              <w:rPr>
                <w:sz w:val="20"/>
              </w:rPr>
              <w:t>lnformacji</w:t>
            </w:r>
            <w:proofErr w:type="spellEnd"/>
            <w:r w:rsidRPr="009033C8">
              <w:rPr>
                <w:sz w:val="20"/>
              </w:rPr>
              <w:t xml:space="preserve"> Przestrzennej w Kielcach</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b/>
                <w:sz w:val="20"/>
              </w:rPr>
            </w:pPr>
            <w:r w:rsidRPr="009033C8">
              <w:rPr>
                <w:b/>
                <w:sz w:val="20"/>
              </w:rPr>
              <w:t>Poziom dojrzałości e-usługi</w:t>
            </w:r>
          </w:p>
        </w:tc>
        <w:tc>
          <w:tcPr>
            <w:tcW w:w="6378" w:type="dxa"/>
          </w:tcPr>
          <w:p w:rsidR="007D1748" w:rsidRPr="009033C8" w:rsidRDefault="007D1748" w:rsidP="00487C00">
            <w:pPr>
              <w:cnfStyle w:val="000000000000" w:firstRow="0" w:lastRow="0" w:firstColumn="0" w:lastColumn="0" w:oddVBand="0" w:evenVBand="0" w:oddHBand="0" w:evenHBand="0" w:firstRowFirstColumn="0" w:firstRowLastColumn="0" w:lastRowFirstColumn="0" w:lastRowLastColumn="0"/>
              <w:rPr>
                <w:sz w:val="20"/>
              </w:rPr>
            </w:pPr>
            <w:r w:rsidRPr="009033C8">
              <w:rPr>
                <w:sz w:val="20"/>
              </w:rPr>
              <w:t>Poziom realizacji e-Usług, czyli możliwy zakres załatwienia danej sprawy drogą elektroniczną,  został opisane wg 5-cio stopniowej skali:</w:t>
            </w:r>
          </w:p>
          <w:p w:rsidR="007D1748" w:rsidRPr="009033C8" w:rsidRDefault="007D1748" w:rsidP="00487C00">
            <w:pPr>
              <w:numPr>
                <w:ilvl w:val="0"/>
                <w:numId w:val="5"/>
              </w:numPr>
              <w:cnfStyle w:val="000000000000" w:firstRow="0" w:lastRow="0" w:firstColumn="0" w:lastColumn="0" w:oddVBand="0" w:evenVBand="0" w:oddHBand="0" w:evenHBand="0" w:firstRowFirstColumn="0" w:firstRowLastColumn="0" w:lastRowFirstColumn="0" w:lastRowLastColumn="0"/>
              <w:rPr>
                <w:sz w:val="20"/>
              </w:rPr>
            </w:pPr>
            <w:r w:rsidRPr="009033C8">
              <w:rPr>
                <w:b/>
                <w:sz w:val="20"/>
              </w:rPr>
              <w:t>Usługa on-line o stopniu dojrzałości 1 (Informacja):</w:t>
            </w:r>
            <w:r w:rsidRPr="009033C8">
              <w:rPr>
                <w:sz w:val="20"/>
              </w:rPr>
              <w:t xml:space="preserve"> ogólnodostępny serwis informacyjny o usłudze publicznej. Informacje o sposobie załatwienia danej sprawy Klient uzyska na stronach internetowych instytucji.</w:t>
            </w:r>
          </w:p>
          <w:p w:rsidR="007D1748" w:rsidRPr="009033C8" w:rsidRDefault="007D1748" w:rsidP="00487C00">
            <w:pPr>
              <w:numPr>
                <w:ilvl w:val="0"/>
                <w:numId w:val="5"/>
              </w:numPr>
              <w:cnfStyle w:val="000000000000" w:firstRow="0" w:lastRow="0" w:firstColumn="0" w:lastColumn="0" w:oddVBand="0" w:evenVBand="0" w:oddHBand="0" w:evenHBand="0" w:firstRowFirstColumn="0" w:firstRowLastColumn="0" w:lastRowFirstColumn="0" w:lastRowLastColumn="0"/>
              <w:rPr>
                <w:sz w:val="20"/>
              </w:rPr>
            </w:pPr>
            <w:r w:rsidRPr="009033C8">
              <w:rPr>
                <w:b/>
                <w:sz w:val="20"/>
              </w:rPr>
              <w:t>Usługa on-line o stopniu dojrzałości 2 (Interakcja jednokierunkowa):</w:t>
            </w:r>
            <w:r w:rsidRPr="009033C8">
              <w:rPr>
                <w:sz w:val="20"/>
              </w:rPr>
              <w:t xml:space="preserve"> możliwość pobrania czystych formularzy i uruchomienia aplikacji obsługującej dany format formularza (np. w celu wydrukowania lub wypełnienia danych i wydrukowania). </w:t>
            </w:r>
            <w:r w:rsidRPr="009033C8">
              <w:rPr>
                <w:sz w:val="20"/>
              </w:rPr>
              <w:lastRenderedPageBreak/>
              <w:t>Wypełniony formularz musi być dostarczony do instytucji tradycyjnie (w wersji papierowej).</w:t>
            </w:r>
          </w:p>
          <w:p w:rsidR="007D1748" w:rsidRPr="009033C8" w:rsidRDefault="007D1748" w:rsidP="00487C00">
            <w:pPr>
              <w:numPr>
                <w:ilvl w:val="0"/>
                <w:numId w:val="5"/>
              </w:numPr>
              <w:cnfStyle w:val="000000000000" w:firstRow="0" w:lastRow="0" w:firstColumn="0" w:lastColumn="0" w:oddVBand="0" w:evenVBand="0" w:oddHBand="0" w:evenHBand="0" w:firstRowFirstColumn="0" w:firstRowLastColumn="0" w:lastRowFirstColumn="0" w:lastRowLastColumn="0"/>
              <w:rPr>
                <w:sz w:val="20"/>
              </w:rPr>
            </w:pPr>
            <w:r w:rsidRPr="009033C8">
              <w:rPr>
                <w:b/>
                <w:sz w:val="20"/>
              </w:rPr>
              <w:t>Usługa on-line o stopniu dojrzałości 3 (Interakcja dwukierunkowa):</w:t>
            </w:r>
            <w:r w:rsidRPr="009033C8">
              <w:rPr>
                <w:sz w:val="20"/>
              </w:rPr>
              <w:t xml:space="preserve"> przetwarzanie formularzy. Umożliwia transfer danych w dwóch kierunkach: od usługodawcy do klienta oraz od klienta do usługodawcy. Typowym sposobem jej realizacji jest pobranie, wypełnienie i odesłanie formularza drogą elektroniczną. Klient nie musi składać formularza w wersji papierowej, może to zrealizować poprzez Internet.</w:t>
            </w:r>
          </w:p>
          <w:p w:rsidR="007D1748" w:rsidRPr="009033C8" w:rsidRDefault="007D1748" w:rsidP="00487C00">
            <w:pPr>
              <w:numPr>
                <w:ilvl w:val="0"/>
                <w:numId w:val="5"/>
              </w:numPr>
              <w:cnfStyle w:val="000000000000" w:firstRow="0" w:lastRow="0" w:firstColumn="0" w:lastColumn="0" w:oddVBand="0" w:evenVBand="0" w:oddHBand="0" w:evenHBand="0" w:firstRowFirstColumn="0" w:firstRowLastColumn="0" w:lastRowFirstColumn="0" w:lastRowLastColumn="0"/>
              <w:rPr>
                <w:sz w:val="20"/>
              </w:rPr>
            </w:pPr>
            <w:r w:rsidRPr="009033C8">
              <w:rPr>
                <w:b/>
                <w:sz w:val="20"/>
              </w:rPr>
              <w:t>Usługa on-line o stopniu dojrzałości 4 (Transakcja):</w:t>
            </w:r>
            <w:r w:rsidRPr="009033C8">
              <w:rPr>
                <w:sz w:val="20"/>
              </w:rPr>
              <w:t xml:space="preserve"> obsługa transakcji, podejmowanie decyzji on-line, dostarczanie usług oraz obsługa płatności. Umożliwia pełne załatwienie danej sprawy drogą elektroniczną, łącznie z ewentualną płatnością. </w:t>
            </w:r>
          </w:p>
          <w:p w:rsidR="007D1748" w:rsidRPr="009033C8" w:rsidRDefault="007D1748" w:rsidP="00487C00">
            <w:pPr>
              <w:numPr>
                <w:ilvl w:val="0"/>
                <w:numId w:val="5"/>
              </w:numPr>
              <w:cnfStyle w:val="000000000000" w:firstRow="0" w:lastRow="0" w:firstColumn="0" w:lastColumn="0" w:oddVBand="0" w:evenVBand="0" w:oddHBand="0" w:evenHBand="0" w:firstRowFirstColumn="0" w:firstRowLastColumn="0" w:lastRowFirstColumn="0" w:lastRowLastColumn="0"/>
              <w:rPr>
                <w:sz w:val="20"/>
              </w:rPr>
            </w:pPr>
            <w:r w:rsidRPr="009033C8">
              <w:rPr>
                <w:b/>
                <w:sz w:val="20"/>
              </w:rPr>
              <w:t>Usługi o stopniu dojrzałości 5 (Personalizacja):</w:t>
            </w:r>
            <w:r w:rsidRPr="009033C8">
              <w:rPr>
                <w:sz w:val="20"/>
              </w:rPr>
              <w:t xml:space="preserve"> organizacja usług wokół potrzeb użytkowników. W ramach poziomu 5 można realizować takie działania, które oprócz możliwości pełnego załatwienia danej sprawy zawierają dodatkowo np. mechanizmy personalizacji, tj. dostosowania sposobu świadczenia do szczególnych uwarunkowań i potrzeb klienta (np. oferowanie częściowo wypełnionych formularzy, poinformowanie klienta SMS-em o zbliżającej się potrzebie wykonania danej czynności urzędowej). </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67802"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b/>
                <w:sz w:val="20"/>
              </w:rPr>
            </w:pPr>
            <w:r w:rsidRPr="00967802">
              <w:rPr>
                <w:b/>
                <w:sz w:val="20"/>
              </w:rPr>
              <w:t>Systemy Informacji Przestrzennej (SIP)</w:t>
            </w:r>
          </w:p>
        </w:tc>
        <w:tc>
          <w:tcPr>
            <w:tcW w:w="6378" w:type="dxa"/>
          </w:tcPr>
          <w:p w:rsidR="007D1748" w:rsidRPr="00967802"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sz w:val="20"/>
              </w:rPr>
            </w:pPr>
            <w:r w:rsidRPr="00967802">
              <w:rPr>
                <w:sz w:val="20"/>
              </w:rPr>
              <w:t xml:space="preserve">Nazywane również systemami informacji geograficznej (GIS) lub systemami informacji o terenie. Niezależnie od przeznaczenia każdy SIP składa się </w:t>
            </w:r>
            <w:r w:rsidRPr="00967802">
              <w:rPr>
                <w:sz w:val="20"/>
              </w:rPr>
              <w:br/>
              <w:t>z kilku podstawowych elementów:</w:t>
            </w:r>
          </w:p>
          <w:p w:rsidR="007D1748" w:rsidRPr="00152365" w:rsidRDefault="007D1748" w:rsidP="00487C00">
            <w:pPr>
              <w:numPr>
                <w:ilvl w:val="0"/>
                <w:numId w:val="3"/>
              </w:numPr>
              <w:spacing w:after="0"/>
              <w:cnfStyle w:val="000000000000" w:firstRow="0" w:lastRow="0" w:firstColumn="0" w:lastColumn="0" w:oddVBand="0" w:evenVBand="0" w:oddHBand="0" w:evenHBand="0" w:firstRowFirstColumn="0" w:firstRowLastColumn="0" w:lastRowFirstColumn="0" w:lastRowLastColumn="0"/>
              <w:rPr>
                <w:sz w:val="20"/>
              </w:rPr>
            </w:pPr>
            <w:r w:rsidRPr="00152365">
              <w:rPr>
                <w:sz w:val="20"/>
              </w:rPr>
              <w:t>Ludzi</w:t>
            </w:r>
          </w:p>
          <w:p w:rsidR="007D1748" w:rsidRPr="00152365" w:rsidRDefault="007D1748" w:rsidP="00487C00">
            <w:pPr>
              <w:numPr>
                <w:ilvl w:val="0"/>
                <w:numId w:val="3"/>
              </w:numPr>
              <w:spacing w:after="0"/>
              <w:cnfStyle w:val="000000000000" w:firstRow="0" w:lastRow="0" w:firstColumn="0" w:lastColumn="0" w:oddVBand="0" w:evenVBand="0" w:oddHBand="0" w:evenHBand="0" w:firstRowFirstColumn="0" w:firstRowLastColumn="0" w:lastRowFirstColumn="0" w:lastRowLastColumn="0"/>
              <w:rPr>
                <w:sz w:val="20"/>
              </w:rPr>
            </w:pPr>
            <w:r w:rsidRPr="00152365">
              <w:rPr>
                <w:sz w:val="20"/>
              </w:rPr>
              <w:t>Procedur zarządzania</w:t>
            </w:r>
          </w:p>
          <w:p w:rsidR="007D1748" w:rsidRPr="00152365" w:rsidRDefault="007D1748" w:rsidP="00487C00">
            <w:pPr>
              <w:numPr>
                <w:ilvl w:val="0"/>
                <w:numId w:val="3"/>
              </w:numPr>
              <w:spacing w:after="0"/>
              <w:cnfStyle w:val="000000000000" w:firstRow="0" w:lastRow="0" w:firstColumn="0" w:lastColumn="0" w:oddVBand="0" w:evenVBand="0" w:oddHBand="0" w:evenHBand="0" w:firstRowFirstColumn="0" w:firstRowLastColumn="0" w:lastRowFirstColumn="0" w:lastRowLastColumn="0"/>
              <w:rPr>
                <w:sz w:val="20"/>
              </w:rPr>
            </w:pPr>
            <w:r w:rsidRPr="00152365">
              <w:rPr>
                <w:sz w:val="20"/>
              </w:rPr>
              <w:t>Danych przestrzennych</w:t>
            </w:r>
          </w:p>
          <w:p w:rsidR="007D1748" w:rsidRPr="00152365" w:rsidRDefault="007D1748" w:rsidP="00487C00">
            <w:pPr>
              <w:numPr>
                <w:ilvl w:val="0"/>
                <w:numId w:val="3"/>
              </w:numPr>
              <w:spacing w:after="0"/>
              <w:cnfStyle w:val="000000000000" w:firstRow="0" w:lastRow="0" w:firstColumn="0" w:lastColumn="0" w:oddVBand="0" w:evenVBand="0" w:oddHBand="0" w:evenHBand="0" w:firstRowFirstColumn="0" w:firstRowLastColumn="0" w:lastRowFirstColumn="0" w:lastRowLastColumn="0"/>
              <w:rPr>
                <w:sz w:val="20"/>
              </w:rPr>
            </w:pPr>
            <w:r w:rsidRPr="00152365">
              <w:rPr>
                <w:sz w:val="20"/>
              </w:rPr>
              <w:t>Oprogramowania (powinno być dostosowane do potrzeb)</w:t>
            </w:r>
          </w:p>
          <w:p w:rsidR="007D1748" w:rsidRPr="00152365" w:rsidRDefault="007D1748" w:rsidP="00487C00">
            <w:pPr>
              <w:numPr>
                <w:ilvl w:val="0"/>
                <w:numId w:val="3"/>
              </w:numPr>
              <w:spacing w:after="0"/>
              <w:cnfStyle w:val="000000000000" w:firstRow="0" w:lastRow="0" w:firstColumn="0" w:lastColumn="0" w:oddVBand="0" w:evenVBand="0" w:oddHBand="0" w:evenHBand="0" w:firstRowFirstColumn="0" w:firstRowLastColumn="0" w:lastRowFirstColumn="0" w:lastRowLastColumn="0"/>
              <w:rPr>
                <w:sz w:val="20"/>
              </w:rPr>
            </w:pPr>
            <w:r w:rsidRPr="00152365">
              <w:rPr>
                <w:sz w:val="20"/>
              </w:rPr>
              <w:t>Sprzętu</w:t>
            </w:r>
          </w:p>
          <w:p w:rsidR="007D1748" w:rsidRPr="00967802"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sz w:val="20"/>
              </w:rPr>
            </w:pPr>
            <w:r w:rsidRPr="00967802">
              <w:rPr>
                <w:sz w:val="20"/>
              </w:rPr>
              <w:t xml:space="preserve">SIP umożliwiają wprowadzanie, gromadzenie, przetwarzanie, analizowanie oraz wizualizację danych przestrzennych. SIP umożliwiają prowadzenie wielu różnych specjalistycznych analiz przestrzennych, dla których punktem wyjścia są relacje zachodzące pomiędzy obiektami przestrzennymi np. wyszukanie obiektów znajdujących się w określonej odległości od wybranego punktu lub innego obiektu jak również relacje wynikające </w:t>
            </w:r>
            <w:r w:rsidRPr="00967802">
              <w:rPr>
                <w:sz w:val="20"/>
              </w:rPr>
              <w:br/>
              <w:t xml:space="preserve">z wartości przypisanych cechom „opisowym” zdarzeń oraz obiektom przestrzennym. </w:t>
            </w:r>
          </w:p>
          <w:p w:rsidR="007D1748" w:rsidRPr="00967802"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sz w:val="20"/>
              </w:rPr>
            </w:pPr>
            <w:r w:rsidRPr="00967802">
              <w:rPr>
                <w:sz w:val="20"/>
              </w:rPr>
              <w:t>SIP są zróżnicowane w zakresie funkcjonalności, co najczęściej jest wynikiem zidentyfikowanych potrzeb ich użytkowników. Systemy te dostarczają istotne wsparcie dla procesów decyzyjnych oraz zarządzania zarówno w administracji publicznej jak i w sektorze komercyjnym.</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b/>
                <w:sz w:val="20"/>
              </w:rPr>
            </w:pPr>
            <w:r w:rsidRPr="00967802">
              <w:rPr>
                <w:b/>
                <w:sz w:val="20"/>
              </w:rPr>
              <w:t>Usługa</w:t>
            </w:r>
          </w:p>
        </w:tc>
        <w:tc>
          <w:tcPr>
            <w:tcW w:w="6378" w:type="dxa"/>
          </w:tcPr>
          <w:p w:rsidR="007D1748" w:rsidRPr="00967802" w:rsidRDefault="007D1748" w:rsidP="00487C00">
            <w:pPr>
              <w:spacing w:after="0" w:line="264" w:lineRule="auto"/>
              <w:ind w:left="34"/>
              <w:contextualSpacing/>
              <w:cnfStyle w:val="000000000000" w:firstRow="0" w:lastRow="0" w:firstColumn="0" w:lastColumn="0" w:oddVBand="0" w:evenVBand="0" w:oddHBand="0" w:evenHBand="0" w:firstRowFirstColumn="0" w:firstRowLastColumn="0" w:lastRowFirstColumn="0" w:lastRowLastColumn="0"/>
              <w:rPr>
                <w:sz w:val="20"/>
              </w:rPr>
            </w:pPr>
            <w:r w:rsidRPr="00967802">
              <w:rPr>
                <w:sz w:val="20"/>
              </w:rPr>
              <w:t xml:space="preserve">Program, procedura lub proces, który wykonuje określone funkcje systemowe obsługując inne programy i systemy. Usługi podlegają standaryzacji w celu umożliwienia komunikacji i integracji wielu systemów informatycznych. </w:t>
            </w:r>
          </w:p>
        </w:tc>
      </w:tr>
    </w:tbl>
    <w:p w:rsidR="00C83999" w:rsidRPr="00C7386C" w:rsidRDefault="00010E89"/>
    <w:sectPr w:rsidR="00C83999" w:rsidRPr="00C7386C" w:rsidSect="007D174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E89" w:rsidRDefault="00010E89" w:rsidP="007D1748">
      <w:pPr>
        <w:spacing w:after="0" w:line="240" w:lineRule="auto"/>
      </w:pPr>
      <w:r>
        <w:separator/>
      </w:r>
    </w:p>
  </w:endnote>
  <w:endnote w:type="continuationSeparator" w:id="0">
    <w:p w:rsidR="00010E89" w:rsidRDefault="00010E89" w:rsidP="007D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xo 2.0 Light">
    <w:altName w:val="Arial"/>
    <w:panose1 w:val="00000000000000000000"/>
    <w:charset w:val="00"/>
    <w:family w:val="modern"/>
    <w:notTrueType/>
    <w:pitch w:val="variable"/>
    <w:sig w:usb0="00000001" w:usb1="00000000" w:usb2="00000000" w:usb3="00000000" w:csb0="00000097" w:csb1="00000000"/>
  </w:font>
  <w:font w:name="Exo 2.0 Medium">
    <w:altName w:val="Arial"/>
    <w:panose1 w:val="00000000000000000000"/>
    <w:charset w:val="00"/>
    <w:family w:val="modern"/>
    <w:notTrueType/>
    <w:pitch w:val="variable"/>
    <w:sig w:usb0="00000001" w:usb1="00000000" w:usb2="00000000" w:usb3="00000000" w:csb0="00000097" w:csb1="00000000"/>
  </w:font>
  <w:font w:name="Cambria">
    <w:panose1 w:val="02040503050406030204"/>
    <w:charset w:val="EE"/>
    <w:family w:val="roman"/>
    <w:pitch w:val="variable"/>
    <w:sig w:usb0="E00002FF" w:usb1="400004FF" w:usb2="00000000" w:usb3="00000000" w:csb0="0000019F" w:csb1="00000000"/>
  </w:font>
  <w:font w:name="Exo 2.0 Semi Bold">
    <w:altName w:val="Arial"/>
    <w:panose1 w:val="00000000000000000000"/>
    <w:charset w:val="00"/>
    <w:family w:val="modern"/>
    <w:notTrueType/>
    <w:pitch w:val="variable"/>
    <w:sig w:usb0="00000001" w:usb1="00000000" w:usb2="00000000" w:usb3="00000000" w:csb0="00000097"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E89" w:rsidRDefault="00010E89" w:rsidP="007D1748">
      <w:pPr>
        <w:spacing w:after="0" w:line="240" w:lineRule="auto"/>
      </w:pPr>
      <w:r>
        <w:separator/>
      </w:r>
    </w:p>
  </w:footnote>
  <w:footnote w:type="continuationSeparator" w:id="0">
    <w:p w:rsidR="00010E89" w:rsidRDefault="00010E89" w:rsidP="007D1748">
      <w:pPr>
        <w:spacing w:after="0" w:line="240" w:lineRule="auto"/>
      </w:pPr>
      <w:r>
        <w:continuationSeparator/>
      </w:r>
    </w:p>
  </w:footnote>
  <w:footnote w:id="1">
    <w:p w:rsidR="007D1748" w:rsidRDefault="007D1748" w:rsidP="007D1748">
      <w:r w:rsidRPr="00B94132">
        <w:rPr>
          <w:vertAlign w:val="superscript"/>
        </w:rPr>
        <w:footnoteRef/>
      </w:r>
      <w:r w:rsidRPr="00B94132">
        <w:rPr>
          <w:vertAlign w:val="superscript"/>
        </w:rPr>
        <w:t xml:space="preserve"> </w:t>
      </w:r>
      <w:hyperlink r:id="rId1" w:history="1">
        <w:r w:rsidRPr="006443B8">
          <w:rPr>
            <w:rFonts w:eastAsia="Times New Roman"/>
            <w:bCs/>
          </w:rPr>
          <w:t>http://5stardata.info/en/</w:t>
        </w:r>
      </w:hyperlink>
      <w:r>
        <w:rPr>
          <w:rFonts w:eastAsia="Times New Roman"/>
          <w:bCs/>
          <w:color w:val="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323B6"/>
    <w:multiLevelType w:val="hybridMultilevel"/>
    <w:tmpl w:val="66680F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23035C"/>
    <w:multiLevelType w:val="hybridMultilevel"/>
    <w:tmpl w:val="CE8A08E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71798D"/>
    <w:multiLevelType w:val="hybridMultilevel"/>
    <w:tmpl w:val="C36A4E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D9F75BD"/>
    <w:multiLevelType w:val="multilevel"/>
    <w:tmpl w:val="50B6C186"/>
    <w:lvl w:ilvl="0">
      <w:start w:val="1"/>
      <w:numFmt w:val="decimal"/>
      <w:pStyle w:val="Nagwek1"/>
      <w:lvlText w:val="%1"/>
      <w:lvlJc w:val="left"/>
      <w:pPr>
        <w:ind w:left="432" w:hanging="432"/>
      </w:pPr>
    </w:lvl>
    <w:lvl w:ilvl="1">
      <w:start w:val="1"/>
      <w:numFmt w:val="decimal"/>
      <w:pStyle w:val="Nagwek2"/>
      <w:lvlText w:val="%1.%2"/>
      <w:lvlJc w:val="left"/>
      <w:pPr>
        <w:ind w:left="576" w:hanging="576"/>
      </w:pPr>
      <w:rPr>
        <w:i w:val="0"/>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15:restartNumberingAfterBreak="0">
    <w:nsid w:val="51C66B33"/>
    <w:multiLevelType w:val="hybridMultilevel"/>
    <w:tmpl w:val="9D9AB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A24316B"/>
    <w:multiLevelType w:val="hybridMultilevel"/>
    <w:tmpl w:val="B57CC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F432C6B"/>
    <w:multiLevelType w:val="hybridMultilevel"/>
    <w:tmpl w:val="9F7285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7693E6A"/>
    <w:multiLevelType w:val="hybridMultilevel"/>
    <w:tmpl w:val="C3CC04F2"/>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48"/>
    <w:rsid w:val="00010E89"/>
    <w:rsid w:val="000F024C"/>
    <w:rsid w:val="00351AE3"/>
    <w:rsid w:val="004E40B2"/>
    <w:rsid w:val="007D1748"/>
    <w:rsid w:val="00C7386C"/>
    <w:rsid w:val="00CF46E8"/>
    <w:rsid w:val="00D66546"/>
    <w:rsid w:val="00F148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274E1-739D-4AF0-8C2A-3D111B99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1748"/>
    <w:pPr>
      <w:spacing w:after="120" w:line="276" w:lineRule="auto"/>
      <w:jc w:val="both"/>
    </w:pPr>
    <w:rPr>
      <w:rFonts w:ascii="Calibri" w:eastAsia="Calibri" w:hAnsi="Calibri" w:cs="Times New Roman"/>
    </w:rPr>
  </w:style>
  <w:style w:type="paragraph" w:styleId="Nagwek1">
    <w:name w:val="heading 1"/>
    <w:aliases w:val="24GIS Naglowek 1"/>
    <w:basedOn w:val="Normalny"/>
    <w:next w:val="Normalny"/>
    <w:link w:val="Nagwek1Znak"/>
    <w:qFormat/>
    <w:rsid w:val="007D1748"/>
    <w:pPr>
      <w:numPr>
        <w:numId w:val="7"/>
      </w:numPr>
      <w:spacing w:after="200"/>
      <w:jc w:val="left"/>
      <w:outlineLvl w:val="0"/>
    </w:pPr>
    <w:rPr>
      <w:rFonts w:ascii="Exo 2.0 Light" w:eastAsia="Times New Roman" w:hAnsi="Exo 2.0 Light"/>
      <w:iCs/>
      <w:color w:val="C00000"/>
      <w:sz w:val="40"/>
      <w:lang w:eastAsia="pl-PL"/>
    </w:rPr>
  </w:style>
  <w:style w:type="paragraph" w:styleId="Nagwek2">
    <w:name w:val="heading 2"/>
    <w:aliases w:val="24GIS Naglowek 2,H2,Subhead A,2,Paragraf nagłówek 2,Nagłówek 2 - 24GIS"/>
    <w:basedOn w:val="Normalny"/>
    <w:next w:val="Normalny"/>
    <w:link w:val="Nagwek2Znak"/>
    <w:autoRedefine/>
    <w:uiPriority w:val="9"/>
    <w:qFormat/>
    <w:rsid w:val="007D1748"/>
    <w:pPr>
      <w:keepNext/>
      <w:keepLines/>
      <w:numPr>
        <w:ilvl w:val="1"/>
        <w:numId w:val="7"/>
      </w:numPr>
      <w:spacing w:before="120"/>
      <w:jc w:val="left"/>
      <w:outlineLvl w:val="1"/>
    </w:pPr>
    <w:rPr>
      <w:rFonts w:ascii="Exo 2.0 Light" w:eastAsia="Times New Roman" w:hAnsi="Exo 2.0 Light"/>
      <w:bCs/>
      <w:color w:val="C00000"/>
      <w:sz w:val="32"/>
      <w:szCs w:val="26"/>
      <w:lang w:eastAsia="pl-PL"/>
    </w:rPr>
  </w:style>
  <w:style w:type="paragraph" w:styleId="Nagwek3">
    <w:name w:val="heading 3"/>
    <w:aliases w:val="24GIS Nagłówek 3,24GIS Tytuł załącznika"/>
    <w:basedOn w:val="Normalny"/>
    <w:next w:val="Normalny"/>
    <w:link w:val="Nagwek3Znak"/>
    <w:uiPriority w:val="9"/>
    <w:qFormat/>
    <w:rsid w:val="007D1748"/>
    <w:pPr>
      <w:numPr>
        <w:ilvl w:val="2"/>
        <w:numId w:val="7"/>
      </w:numPr>
      <w:spacing w:before="120"/>
      <w:outlineLvl w:val="2"/>
    </w:pPr>
    <w:rPr>
      <w:rFonts w:ascii="Exo 2.0 Medium" w:eastAsia="Times New Roman" w:hAnsi="Exo 2.0 Medium"/>
      <w:color w:val="C00000"/>
      <w:szCs w:val="24"/>
      <w:lang w:eastAsia="pl-PL"/>
    </w:rPr>
  </w:style>
  <w:style w:type="paragraph" w:styleId="Nagwek4">
    <w:name w:val="heading 4"/>
    <w:basedOn w:val="Normalny"/>
    <w:next w:val="Normalny"/>
    <w:link w:val="Nagwek4Znak"/>
    <w:autoRedefine/>
    <w:uiPriority w:val="99"/>
    <w:qFormat/>
    <w:rsid w:val="007D1748"/>
    <w:pPr>
      <w:keepNext/>
      <w:keepLines/>
      <w:numPr>
        <w:ilvl w:val="3"/>
        <w:numId w:val="7"/>
      </w:numPr>
      <w:spacing w:before="200" w:after="0"/>
      <w:outlineLvl w:val="3"/>
    </w:pPr>
    <w:rPr>
      <w:rFonts w:ascii="Exo 2.0 Light" w:hAnsi="Exo 2.0 Light"/>
      <w:color w:val="C00000"/>
      <w:szCs w:val="20"/>
      <w:lang w:eastAsia="pl-PL"/>
    </w:rPr>
  </w:style>
  <w:style w:type="paragraph" w:styleId="Nagwek6">
    <w:name w:val="heading 6"/>
    <w:basedOn w:val="Normalny"/>
    <w:next w:val="Normalny"/>
    <w:link w:val="Nagwek6Znak"/>
    <w:uiPriority w:val="99"/>
    <w:qFormat/>
    <w:rsid w:val="007D1748"/>
    <w:pPr>
      <w:keepNext/>
      <w:keepLines/>
      <w:numPr>
        <w:ilvl w:val="5"/>
        <w:numId w:val="7"/>
      </w:numPr>
      <w:spacing w:before="200" w:after="0"/>
      <w:outlineLvl w:val="5"/>
    </w:pPr>
    <w:rPr>
      <w:rFonts w:ascii="Cambria" w:eastAsia="Times New Roman" w:hAnsi="Cambria"/>
      <w:i/>
      <w:iCs/>
      <w:color w:val="243F60"/>
    </w:rPr>
  </w:style>
  <w:style w:type="paragraph" w:styleId="Nagwek7">
    <w:name w:val="heading 7"/>
    <w:basedOn w:val="Normalny"/>
    <w:next w:val="Normalny"/>
    <w:link w:val="Nagwek7Znak"/>
    <w:uiPriority w:val="99"/>
    <w:qFormat/>
    <w:rsid w:val="007D1748"/>
    <w:pPr>
      <w:keepNext/>
      <w:keepLines/>
      <w:numPr>
        <w:ilvl w:val="6"/>
        <w:numId w:val="7"/>
      </w:numPr>
      <w:spacing w:before="200" w:after="0"/>
      <w:outlineLvl w:val="6"/>
    </w:pPr>
    <w:rPr>
      <w:rFonts w:ascii="Cambria" w:eastAsia="Times New Roman" w:hAnsi="Cambria"/>
      <w:i/>
      <w:iCs/>
      <w:color w:val="404040"/>
    </w:rPr>
  </w:style>
  <w:style w:type="paragraph" w:styleId="Nagwek8">
    <w:name w:val="heading 8"/>
    <w:basedOn w:val="Normalny"/>
    <w:next w:val="Normalny"/>
    <w:link w:val="Nagwek8Znak"/>
    <w:uiPriority w:val="99"/>
    <w:qFormat/>
    <w:rsid w:val="007D1748"/>
    <w:pPr>
      <w:keepNext/>
      <w:keepLines/>
      <w:numPr>
        <w:ilvl w:val="7"/>
        <w:numId w:val="7"/>
      </w:numPr>
      <w:spacing w:before="200" w:after="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9"/>
    <w:qFormat/>
    <w:rsid w:val="007D1748"/>
    <w:pPr>
      <w:keepNext/>
      <w:keepLines/>
      <w:numPr>
        <w:ilvl w:val="8"/>
        <w:numId w:val="7"/>
      </w:numPr>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24GIS Naglowek 1 Znak"/>
    <w:basedOn w:val="Domylnaczcionkaakapitu"/>
    <w:link w:val="Nagwek1"/>
    <w:rsid w:val="007D1748"/>
    <w:rPr>
      <w:rFonts w:ascii="Exo 2.0 Light" w:eastAsia="Times New Roman" w:hAnsi="Exo 2.0 Light" w:cs="Times New Roman"/>
      <w:iCs/>
      <w:color w:val="C00000"/>
      <w:sz w:val="40"/>
      <w:lang w:eastAsia="pl-PL"/>
    </w:rPr>
  </w:style>
  <w:style w:type="character" w:customStyle="1" w:styleId="Nagwek2Znak">
    <w:name w:val="Nagłówek 2 Znak"/>
    <w:aliases w:val="24GIS Naglowek 2 Znak,H2 Znak,Subhead A Znak,2 Znak,Paragraf nagłówek 2 Znak,Nagłówek 2 - 24GIS Znak"/>
    <w:basedOn w:val="Domylnaczcionkaakapitu"/>
    <w:link w:val="Nagwek2"/>
    <w:uiPriority w:val="9"/>
    <w:rsid w:val="007D1748"/>
    <w:rPr>
      <w:rFonts w:ascii="Exo 2.0 Light" w:eastAsia="Times New Roman" w:hAnsi="Exo 2.0 Light" w:cs="Times New Roman"/>
      <w:bCs/>
      <w:color w:val="C00000"/>
      <w:sz w:val="32"/>
      <w:szCs w:val="26"/>
      <w:lang w:eastAsia="pl-PL"/>
    </w:rPr>
  </w:style>
  <w:style w:type="character" w:customStyle="1" w:styleId="Nagwek3Znak">
    <w:name w:val="Nagłówek 3 Znak"/>
    <w:aliases w:val="24GIS Nagłówek 3 Znak,24GIS Tytuł załącznika Znak"/>
    <w:basedOn w:val="Domylnaczcionkaakapitu"/>
    <w:link w:val="Nagwek3"/>
    <w:uiPriority w:val="9"/>
    <w:rsid w:val="007D1748"/>
    <w:rPr>
      <w:rFonts w:ascii="Exo 2.0 Medium" w:eastAsia="Times New Roman" w:hAnsi="Exo 2.0 Medium" w:cs="Times New Roman"/>
      <w:color w:val="C00000"/>
      <w:szCs w:val="24"/>
      <w:lang w:eastAsia="pl-PL"/>
    </w:rPr>
  </w:style>
  <w:style w:type="character" w:customStyle="1" w:styleId="Nagwek4Znak">
    <w:name w:val="Nagłówek 4 Znak"/>
    <w:basedOn w:val="Domylnaczcionkaakapitu"/>
    <w:link w:val="Nagwek4"/>
    <w:uiPriority w:val="99"/>
    <w:rsid w:val="007D1748"/>
    <w:rPr>
      <w:rFonts w:ascii="Exo 2.0 Light" w:eastAsia="Calibri" w:hAnsi="Exo 2.0 Light" w:cs="Times New Roman"/>
      <w:color w:val="C00000"/>
      <w:szCs w:val="20"/>
      <w:lang w:eastAsia="pl-PL"/>
    </w:rPr>
  </w:style>
  <w:style w:type="character" w:customStyle="1" w:styleId="Nagwek6Znak">
    <w:name w:val="Nagłówek 6 Znak"/>
    <w:basedOn w:val="Domylnaczcionkaakapitu"/>
    <w:link w:val="Nagwek6"/>
    <w:uiPriority w:val="99"/>
    <w:rsid w:val="007D1748"/>
    <w:rPr>
      <w:rFonts w:ascii="Cambria" w:eastAsia="Times New Roman" w:hAnsi="Cambria" w:cs="Times New Roman"/>
      <w:i/>
      <w:iCs/>
      <w:color w:val="243F60"/>
    </w:rPr>
  </w:style>
  <w:style w:type="character" w:customStyle="1" w:styleId="Nagwek7Znak">
    <w:name w:val="Nagłówek 7 Znak"/>
    <w:basedOn w:val="Domylnaczcionkaakapitu"/>
    <w:link w:val="Nagwek7"/>
    <w:uiPriority w:val="99"/>
    <w:rsid w:val="007D1748"/>
    <w:rPr>
      <w:rFonts w:ascii="Cambria" w:eastAsia="Times New Roman" w:hAnsi="Cambria" w:cs="Times New Roman"/>
      <w:i/>
      <w:iCs/>
      <w:color w:val="404040"/>
    </w:rPr>
  </w:style>
  <w:style w:type="character" w:customStyle="1" w:styleId="Nagwek8Znak">
    <w:name w:val="Nagłówek 8 Znak"/>
    <w:basedOn w:val="Domylnaczcionkaakapitu"/>
    <w:link w:val="Nagwek8"/>
    <w:uiPriority w:val="99"/>
    <w:rsid w:val="007D1748"/>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9"/>
    <w:rsid w:val="007D1748"/>
    <w:rPr>
      <w:rFonts w:ascii="Cambria" w:eastAsia="Times New Roman" w:hAnsi="Cambria" w:cs="Times New Roman"/>
      <w:i/>
      <w:iCs/>
      <w:color w:val="404040"/>
      <w:sz w:val="20"/>
      <w:szCs w:val="20"/>
    </w:rPr>
  </w:style>
  <w:style w:type="paragraph" w:styleId="Akapitzlist">
    <w:name w:val="List Paragraph"/>
    <w:basedOn w:val="Normalny"/>
    <w:link w:val="AkapitzlistZnak"/>
    <w:uiPriority w:val="34"/>
    <w:qFormat/>
    <w:rsid w:val="007D1748"/>
    <w:pPr>
      <w:ind w:left="720"/>
      <w:contextualSpacing/>
    </w:pPr>
    <w:rPr>
      <w:szCs w:val="20"/>
    </w:rPr>
  </w:style>
  <w:style w:type="character" w:customStyle="1" w:styleId="AkapitzlistZnak">
    <w:name w:val="Akapit z listą Znak"/>
    <w:link w:val="Akapitzlist"/>
    <w:uiPriority w:val="34"/>
    <w:qFormat/>
    <w:locked/>
    <w:rsid w:val="007D1748"/>
    <w:rPr>
      <w:rFonts w:ascii="Calibri" w:eastAsia="Calibri" w:hAnsi="Calibri" w:cs="Times New Roman"/>
      <w:szCs w:val="20"/>
    </w:rPr>
  </w:style>
  <w:style w:type="paragraph" w:styleId="Tytu">
    <w:name w:val="Title"/>
    <w:aliases w:val="24GIS Tytuł"/>
    <w:basedOn w:val="Normalny"/>
    <w:next w:val="Normalny"/>
    <w:link w:val="TytuZnak"/>
    <w:autoRedefine/>
    <w:uiPriority w:val="10"/>
    <w:qFormat/>
    <w:rsid w:val="007D1748"/>
    <w:pPr>
      <w:spacing w:after="300" w:line="240" w:lineRule="auto"/>
      <w:contextualSpacing/>
    </w:pPr>
    <w:rPr>
      <w:rFonts w:ascii="Exo 2.0 Semi Bold" w:eastAsia="Times New Roman" w:hAnsi="Exo 2.0 Semi Bold"/>
      <w:b/>
      <w:spacing w:val="5"/>
      <w:kern w:val="28"/>
      <w:sz w:val="44"/>
      <w:szCs w:val="52"/>
      <w:lang w:eastAsia="pl-PL"/>
    </w:rPr>
  </w:style>
  <w:style w:type="character" w:customStyle="1" w:styleId="TytuZnak">
    <w:name w:val="Tytuł Znak"/>
    <w:aliases w:val="24GIS Tytuł Znak"/>
    <w:basedOn w:val="Domylnaczcionkaakapitu"/>
    <w:link w:val="Tytu"/>
    <w:uiPriority w:val="10"/>
    <w:rsid w:val="007D1748"/>
    <w:rPr>
      <w:rFonts w:ascii="Exo 2.0 Semi Bold" w:eastAsia="Times New Roman" w:hAnsi="Exo 2.0 Semi Bold" w:cs="Times New Roman"/>
      <w:b/>
      <w:spacing w:val="5"/>
      <w:kern w:val="28"/>
      <w:sz w:val="44"/>
      <w:szCs w:val="52"/>
      <w:lang w:eastAsia="pl-PL"/>
    </w:rPr>
  </w:style>
  <w:style w:type="paragraph" w:customStyle="1" w:styleId="Akapitzlist2">
    <w:name w:val="Akapit z listą2"/>
    <w:basedOn w:val="Normalny"/>
    <w:link w:val="ListParagraphChar1"/>
    <w:uiPriority w:val="99"/>
    <w:rsid w:val="007D1748"/>
    <w:pPr>
      <w:ind w:left="720"/>
      <w:contextualSpacing/>
    </w:pPr>
    <w:rPr>
      <w:rFonts w:eastAsia="Times New Roman"/>
      <w:sz w:val="20"/>
      <w:szCs w:val="20"/>
    </w:rPr>
  </w:style>
  <w:style w:type="character" w:customStyle="1" w:styleId="ListParagraphChar1">
    <w:name w:val="List Paragraph Char1"/>
    <w:link w:val="Akapitzlist2"/>
    <w:uiPriority w:val="99"/>
    <w:locked/>
    <w:rsid w:val="007D1748"/>
    <w:rPr>
      <w:rFonts w:ascii="Calibri" w:eastAsia="Times New Roman" w:hAnsi="Calibri" w:cs="Times New Roman"/>
      <w:sz w:val="20"/>
      <w:szCs w:val="20"/>
    </w:rPr>
  </w:style>
  <w:style w:type="table" w:customStyle="1" w:styleId="24GIS">
    <w:name w:val="24GIS"/>
    <w:basedOn w:val="Standardowy"/>
    <w:uiPriority w:val="99"/>
    <w:rsid w:val="007D1748"/>
    <w:pPr>
      <w:spacing w:after="0" w:line="240" w:lineRule="auto"/>
    </w:pPr>
    <w:rPr>
      <w:rFonts w:eastAsia="Calibri" w:cs="Times New Roman"/>
      <w:szCs w:val="20"/>
      <w:lang w:eastAsia="pl-PL"/>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tblStylePr w:type="firstRow">
      <w:pPr>
        <w:jc w:val="center"/>
      </w:pPr>
      <w:rPr>
        <w:rFonts w:asciiTheme="minorHAnsi" w:hAnsiTheme="minorHAnsi"/>
        <w:b/>
        <w:sz w:val="22"/>
      </w:rPr>
      <w:tblPr/>
      <w:tcPr>
        <w:shd w:val="clear" w:color="auto" w:fill="D9D9D9" w:themeFill="background1" w:themeFillShade="D9"/>
        <w:vAlign w:val="center"/>
      </w:tcPr>
    </w:tblStylePr>
    <w:tblStylePr w:type="firstCol">
      <w:pPr>
        <w:wordWrap/>
        <w:ind w:firstLineChars="0" w:firstLine="0"/>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5stardata.info/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1148</Words>
  <Characters>6892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Michta</dc:creator>
  <cp:keywords/>
  <dc:description/>
  <cp:lastModifiedBy>Agnieszka Michta</cp:lastModifiedBy>
  <cp:revision>2</cp:revision>
  <dcterms:created xsi:type="dcterms:W3CDTF">2016-12-08T14:08:00Z</dcterms:created>
  <dcterms:modified xsi:type="dcterms:W3CDTF">2016-12-09T07:05:00Z</dcterms:modified>
</cp:coreProperties>
</file>